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280EE">
      <w:pPr>
        <w:spacing w:beforeAutospacing="0" w:afterAutospacing="0" w:line="578" w:lineRule="exact"/>
        <w:rPr>
          <w:rFonts w:ascii="黑体" w:hAnsi="黑体" w:eastAsia="黑体"/>
          <w:szCs w:val="32"/>
        </w:rPr>
      </w:pPr>
      <w:r>
        <w:rPr>
          <w:rFonts w:hint="eastAsia" w:ascii="黑体" w:hAnsi="黑体" w:eastAsia="黑体"/>
          <w:szCs w:val="32"/>
        </w:rPr>
        <w:t>附件</w:t>
      </w:r>
      <w:r>
        <w:rPr>
          <w:rFonts w:ascii="黑体" w:hAnsi="黑体" w:eastAsia="黑体"/>
          <w:szCs w:val="32"/>
        </w:rPr>
        <w:t>2</w:t>
      </w:r>
    </w:p>
    <w:p w14:paraId="20A31370">
      <w:pPr>
        <w:spacing w:beforeAutospacing="0" w:afterAutospacing="0" w:line="578" w:lineRule="exact"/>
        <w:rPr>
          <w:sz w:val="44"/>
          <w:szCs w:val="44"/>
        </w:rPr>
      </w:pPr>
    </w:p>
    <w:p w14:paraId="745825DA">
      <w:pPr>
        <w:spacing w:beforeAutospacing="0" w:afterAutospacing="0" w:line="578" w:lineRule="exact"/>
        <w:jc w:val="center"/>
        <w:rPr>
          <w:rFonts w:ascii="方正小标宋_GBK" w:eastAsia="方正小标宋_GBK"/>
          <w:sz w:val="44"/>
          <w:szCs w:val="44"/>
        </w:rPr>
      </w:pPr>
      <w:r>
        <w:rPr>
          <w:rFonts w:hint="eastAsia" w:ascii="方正小标宋_GBK" w:eastAsia="方正小标宋_GBK"/>
          <w:sz w:val="44"/>
          <w:szCs w:val="44"/>
        </w:rPr>
        <w:t>《湖南省地震局重大工程抗震设防要求审定实施细则（公开征求意见稿）》起草说明</w:t>
      </w:r>
    </w:p>
    <w:p w14:paraId="7AA9E000">
      <w:pPr>
        <w:spacing w:beforeAutospacing="0" w:afterAutospacing="0" w:line="578" w:lineRule="exact"/>
        <w:jc w:val="center"/>
        <w:rPr>
          <w:sz w:val="44"/>
          <w:szCs w:val="44"/>
        </w:rPr>
      </w:pPr>
    </w:p>
    <w:p w14:paraId="07056B63">
      <w:pPr>
        <w:spacing w:beforeAutospacing="0" w:afterAutospacing="0" w:line="578" w:lineRule="exact"/>
        <w:ind w:firstLine="624" w:firstLineChars="200"/>
        <w:rPr>
          <w:rFonts w:hint="eastAsia" w:ascii="CESI黑体-GB2312" w:hAnsi="CESI黑体-GB2312" w:eastAsia="CESI黑体-GB2312" w:cs="CESI黑体-GB2312"/>
          <w:szCs w:val="32"/>
        </w:rPr>
      </w:pPr>
      <w:r>
        <w:rPr>
          <w:rFonts w:hint="eastAsia" w:ascii="CESI黑体-GB2312" w:hAnsi="CESI黑体-GB2312" w:eastAsia="CESI黑体-GB2312" w:cs="CESI黑体-GB2312"/>
          <w:szCs w:val="32"/>
        </w:rPr>
        <w:t>一、制定的背景和必要性</w:t>
      </w:r>
    </w:p>
    <w:p w14:paraId="0600AB7A">
      <w:pPr>
        <w:spacing w:beforeAutospacing="0" w:afterAutospacing="0" w:line="578" w:lineRule="exact"/>
        <w:ind w:firstLine="624" w:firstLineChars="200"/>
        <w:rPr>
          <w:rFonts w:hint="eastAsia" w:ascii="仿宋_GB2312" w:eastAsia="仿宋_GB2312" w:cs="仿宋_GB2312"/>
          <w:szCs w:val="32"/>
        </w:rPr>
      </w:pPr>
      <w:r>
        <w:rPr>
          <w:rFonts w:ascii="仿宋_GB2312" w:eastAsia="仿宋_GB2312" w:cs="仿宋_GB2312"/>
          <w:sz w:val="32"/>
          <w:szCs w:val="32"/>
        </w:rPr>
        <w:t>重大工程抗震设防要求审定是重大工程抗震设防要求管理的重要环节</w:t>
      </w:r>
      <w:r>
        <w:rPr>
          <w:rFonts w:hint="eastAsia" w:ascii="仿宋_GB2312" w:eastAsia="仿宋_GB2312" w:cs="仿宋_GB2312"/>
          <w:sz w:val="32"/>
          <w:szCs w:val="32"/>
        </w:rPr>
        <w:t>。近年来，</w:t>
      </w:r>
      <w:r>
        <w:rPr>
          <w:rFonts w:ascii="仿宋_GB2312" w:eastAsia="仿宋_GB2312" w:cs="仿宋_GB2312"/>
          <w:sz w:val="32"/>
          <w:szCs w:val="32"/>
        </w:rPr>
        <w:t>湖南省人民政府、</w:t>
      </w:r>
      <w:r>
        <w:rPr>
          <w:rFonts w:hint="eastAsia" w:ascii="仿宋_GB2312" w:eastAsia="仿宋_GB2312" w:cs="仿宋_GB2312"/>
          <w:sz w:val="32"/>
          <w:szCs w:val="32"/>
        </w:rPr>
        <w:t>中国地震局印发了一系列规范性文件，对</w:t>
      </w:r>
      <w:r>
        <w:rPr>
          <w:rFonts w:ascii="仿宋_GB2312" w:eastAsia="仿宋_GB2312" w:cs="仿宋_GB2312"/>
          <w:sz w:val="32"/>
          <w:szCs w:val="32"/>
        </w:rPr>
        <w:t>重大工程抗震设防要求审定及地震安全性评价</w:t>
      </w:r>
      <w:r>
        <w:rPr>
          <w:rFonts w:hint="eastAsia" w:ascii="仿宋_GB2312" w:eastAsia="仿宋_GB2312" w:cs="仿宋_GB2312"/>
          <w:sz w:val="32"/>
          <w:szCs w:val="32"/>
        </w:rPr>
        <w:t>工作提出严格、细致的要求。为贯彻落实</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湖南省重大工程抗震设防要求管理办法</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w:t>
      </w:r>
      <w:r>
        <w:rPr>
          <w:rFonts w:ascii="仿宋_GB2312" w:hAnsi="仿宋_GB2312" w:eastAsia="仿宋_GB2312" w:cs="仿宋_GB2312"/>
          <w:sz w:val="32"/>
          <w:szCs w:val="32"/>
        </w:rPr>
        <w:t>湘政办发〔2026〕11号</w:t>
      </w:r>
      <w:r>
        <w:rPr>
          <w:rFonts w:ascii="仿宋_GB2312" w:hAnsi="仿宋_GB2312" w:eastAsia="仿宋_GB2312" w:cs="仿宋_GB2312"/>
          <w:sz w:val="32"/>
          <w:szCs w:val="32"/>
          <w:lang w:eastAsia="zh-CN"/>
        </w:rPr>
        <w:t>）《关于进一步加强和规范地震安全性评价报告技术审查工作的通知》（中震防函〔2025〕18号）等</w:t>
      </w:r>
      <w:r>
        <w:rPr>
          <w:rFonts w:hint="eastAsia" w:ascii="仿宋_GB2312" w:eastAsia="仿宋_GB2312" w:cs="仿宋_GB2312"/>
          <w:sz w:val="32"/>
          <w:szCs w:val="32"/>
        </w:rPr>
        <w:t>文件精神，进一步规范重大</w:t>
      </w:r>
      <w:r>
        <w:rPr>
          <w:rFonts w:hint="eastAsia" w:ascii="仿宋_GB2312" w:eastAsia="仿宋_GB2312" w:cs="仿宋_GB2312"/>
          <w:szCs w:val="32"/>
        </w:rPr>
        <w:t>工程抗震设防要求审定，需要制定一部专门规范</w:t>
      </w:r>
      <w:r>
        <w:rPr>
          <w:rFonts w:ascii="仿宋_GB2312" w:eastAsia="仿宋_GB2312" w:cs="仿宋_GB2312"/>
          <w:szCs w:val="32"/>
        </w:rPr>
        <w:t>我省</w:t>
      </w:r>
      <w:r>
        <w:rPr>
          <w:rFonts w:ascii="仿宋_GB2312" w:eastAsia="仿宋_GB2312" w:cs="仿宋_GB2312"/>
          <w:sz w:val="32"/>
          <w:szCs w:val="32"/>
        </w:rPr>
        <w:t>重大工程抗震设防要求审定</w:t>
      </w:r>
      <w:r>
        <w:rPr>
          <w:rFonts w:hint="eastAsia" w:ascii="仿宋_GB2312" w:eastAsia="仿宋_GB2312" w:cs="仿宋_GB2312"/>
          <w:szCs w:val="32"/>
        </w:rPr>
        <w:t>的</w:t>
      </w:r>
      <w:r>
        <w:rPr>
          <w:rFonts w:ascii="仿宋_GB2312" w:eastAsia="仿宋_GB2312" w:cs="仿宋_GB2312"/>
          <w:szCs w:val="32"/>
        </w:rPr>
        <w:t>实施细则</w:t>
      </w:r>
      <w:r>
        <w:rPr>
          <w:rFonts w:hint="eastAsia" w:ascii="仿宋_GB2312" w:eastAsia="仿宋_GB2312" w:cs="仿宋_GB2312"/>
          <w:szCs w:val="32"/>
        </w:rPr>
        <w:t>，为相关各方提供明确的工作指引，确保</w:t>
      </w:r>
      <w:r>
        <w:rPr>
          <w:rFonts w:ascii="仿宋_GB2312" w:eastAsia="仿宋_GB2312" w:cs="仿宋_GB2312"/>
          <w:sz w:val="32"/>
          <w:szCs w:val="32"/>
        </w:rPr>
        <w:t>重大工程抗震设防要求审定</w:t>
      </w:r>
      <w:r>
        <w:rPr>
          <w:rFonts w:hint="eastAsia" w:ascii="仿宋_GB2312" w:eastAsia="仿宋_GB2312" w:cs="仿宋_GB2312"/>
          <w:szCs w:val="32"/>
        </w:rPr>
        <w:t>工作有章可循、有据可依，从而切实提升我省</w:t>
      </w:r>
      <w:r>
        <w:rPr>
          <w:rFonts w:ascii="仿宋_GB2312" w:eastAsia="仿宋_GB2312" w:cs="仿宋_GB2312"/>
          <w:sz w:val="32"/>
          <w:szCs w:val="32"/>
        </w:rPr>
        <w:t>重大工程抗震设防要求审定</w:t>
      </w:r>
      <w:r>
        <w:rPr>
          <w:rFonts w:hint="eastAsia" w:ascii="仿宋_GB2312" w:eastAsia="仿宋_GB2312" w:cs="仿宋_GB2312"/>
          <w:szCs w:val="32"/>
        </w:rPr>
        <w:t>工作的规范化水平，为重大工程地震安全提供坚实保障。</w:t>
      </w:r>
    </w:p>
    <w:p w14:paraId="7B3B98ED">
      <w:pPr>
        <w:spacing w:beforeAutospacing="0" w:afterAutospacing="0" w:line="578" w:lineRule="exact"/>
        <w:ind w:firstLine="624" w:firstLineChars="200"/>
        <w:jc w:val="left"/>
        <w:rPr>
          <w:rFonts w:hint="eastAsia" w:ascii="CESI黑体-GB2312" w:hAnsi="CESI黑体-GB2312" w:eastAsia="CESI黑体-GB2312" w:cs="CESI黑体-GB2312"/>
          <w:szCs w:val="32"/>
        </w:rPr>
      </w:pPr>
      <w:r>
        <w:rPr>
          <w:rFonts w:hint="eastAsia" w:ascii="CESI黑体-GB2312" w:hAnsi="CESI黑体-GB2312" w:eastAsia="CESI黑体-GB2312" w:cs="CESI黑体-GB2312"/>
          <w:szCs w:val="32"/>
        </w:rPr>
        <w:t>二、起草过程和拟解决的主要问题</w:t>
      </w:r>
    </w:p>
    <w:p w14:paraId="293F8FBD">
      <w:pPr>
        <w:spacing w:beforeAutospacing="0" w:afterAutospacing="0" w:line="578" w:lineRule="exact"/>
        <w:ind w:firstLine="624" w:firstLineChars="200"/>
        <w:rPr>
          <w:rFonts w:hint="eastAsia" w:ascii="仿宋_GB2312" w:eastAsia="仿宋_GB2312" w:cs="仿宋_GB2312"/>
          <w:szCs w:val="32"/>
        </w:rPr>
      </w:pPr>
      <w:r>
        <w:rPr>
          <w:rFonts w:hint="eastAsia" w:ascii="仿宋_GB2312" w:eastAsia="仿宋_GB2312" w:cs="仿宋_GB2312"/>
          <w:szCs w:val="32"/>
        </w:rPr>
        <w:t>本《</w:t>
      </w:r>
      <w:r>
        <w:rPr>
          <w:rFonts w:ascii="仿宋_GB2312" w:eastAsia="仿宋_GB2312" w:cs="仿宋_GB2312"/>
          <w:szCs w:val="32"/>
        </w:rPr>
        <w:t>实施细则</w:t>
      </w:r>
      <w:r>
        <w:rPr>
          <w:rFonts w:hint="eastAsia" w:ascii="仿宋_GB2312" w:eastAsia="仿宋_GB2312" w:cs="仿宋_GB2312"/>
          <w:szCs w:val="32"/>
        </w:rPr>
        <w:t>》的起草工作由</w:t>
      </w:r>
      <w:r>
        <w:rPr>
          <w:rFonts w:hint="eastAsia" w:ascii="仿宋_GB2312" w:eastAsia="仿宋_GB2312" w:cs="仿宋_GB2312"/>
          <w:szCs w:val="32"/>
          <w:lang w:eastAsia="zh-CN"/>
        </w:rPr>
        <w:t>省地震局</w:t>
      </w:r>
      <w:r>
        <w:rPr>
          <w:rFonts w:hint="eastAsia" w:ascii="仿宋_GB2312" w:eastAsia="仿宋_GB2312" w:cs="仿宋_GB2312"/>
          <w:szCs w:val="32"/>
        </w:rPr>
        <w:t>震害防御与应急处</w:t>
      </w:r>
      <w:r>
        <w:rPr>
          <w:rFonts w:ascii="仿宋_GB2312" w:eastAsia="仿宋_GB2312" w:cs="仿宋_GB2312"/>
          <w:szCs w:val="32"/>
        </w:rPr>
        <w:t>（公共服务处）</w:t>
      </w:r>
      <w:r>
        <w:rPr>
          <w:rFonts w:hint="eastAsia" w:ascii="仿宋_GB2312" w:eastAsia="仿宋_GB2312" w:cs="仿宋_GB2312"/>
          <w:szCs w:val="32"/>
        </w:rPr>
        <w:t>具体承担。在起草过程中，认真研究了</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湖南省重大工程抗震设防要求管理办法</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w:t>
      </w:r>
      <w:r>
        <w:rPr>
          <w:rFonts w:ascii="仿宋_GB2312" w:hAnsi="仿宋_GB2312" w:eastAsia="仿宋_GB2312" w:cs="仿宋_GB2312"/>
          <w:sz w:val="32"/>
          <w:szCs w:val="32"/>
        </w:rPr>
        <w:t>湘政办发〔2026〕11号</w:t>
      </w:r>
      <w:r>
        <w:rPr>
          <w:rFonts w:ascii="仿宋_GB2312" w:hAnsi="仿宋_GB2312" w:eastAsia="仿宋_GB2312" w:cs="仿宋_GB2312"/>
          <w:sz w:val="32"/>
          <w:szCs w:val="32"/>
          <w:lang w:eastAsia="zh-CN"/>
        </w:rPr>
        <w:t>）《地震安全性评价单位信用监管实施办法（试行）》（中震规〔2025〕1号）《关于进一步加强和规范地震安全性评价报告技术审查工作的通知》（中震防函〔2025〕18号）《关于印发地震安全性评价报告技术审查要点和技术审查单的通知》（中震防函〔2025〕21号）</w:t>
      </w:r>
      <w:r>
        <w:rPr>
          <w:rFonts w:ascii="仿宋_GB2312" w:eastAsia="仿宋_GB2312" w:cs="仿宋_GB2312"/>
          <w:szCs w:val="32"/>
        </w:rPr>
        <w:t>等</w:t>
      </w:r>
      <w:r>
        <w:rPr>
          <w:rFonts w:hint="eastAsia" w:ascii="仿宋_GB2312" w:eastAsia="仿宋_GB2312" w:cs="仿宋_GB2312"/>
          <w:szCs w:val="32"/>
        </w:rPr>
        <w:t>相关最新文件要求，充分借鉴了</w:t>
      </w:r>
      <w:r>
        <w:rPr>
          <w:rFonts w:ascii="仿宋_GB2312" w:eastAsia="仿宋_GB2312" w:cs="仿宋_GB2312"/>
          <w:szCs w:val="32"/>
          <w:lang w:eastAsia="zh-CN"/>
        </w:rPr>
        <w:t>陕西</w:t>
      </w:r>
      <w:r>
        <w:rPr>
          <w:rFonts w:hint="eastAsia" w:ascii="仿宋_GB2312" w:eastAsia="仿宋_GB2312" w:cs="仿宋_GB2312"/>
          <w:szCs w:val="32"/>
        </w:rPr>
        <w:t>等兄弟省份的成熟经验和有效做法，并紧密结合我省实际工作需求和已有的管理实践。初稿形成后，征求了市州地震工作部门、</w:t>
      </w:r>
      <w:r>
        <w:rPr>
          <w:rFonts w:ascii="仿宋_GB2312" w:eastAsia="仿宋_GB2312" w:cs="仿宋_GB2312"/>
          <w:szCs w:val="32"/>
        </w:rPr>
        <w:t>省地震局机关处室及局属事业单位的</w:t>
      </w:r>
      <w:r>
        <w:rPr>
          <w:rFonts w:hint="eastAsia" w:ascii="仿宋_GB2312" w:eastAsia="仿宋_GB2312" w:cs="仿宋_GB2312"/>
          <w:szCs w:val="32"/>
        </w:rPr>
        <w:t>意见，并进行了多轮修改完善，力求使《</w:t>
      </w:r>
      <w:r>
        <w:rPr>
          <w:rFonts w:ascii="仿宋_GB2312" w:eastAsia="仿宋_GB2312" w:cs="仿宋_GB2312"/>
          <w:szCs w:val="32"/>
        </w:rPr>
        <w:t>实施细则</w:t>
      </w:r>
      <w:r>
        <w:rPr>
          <w:rFonts w:hint="eastAsia" w:ascii="仿宋_GB2312" w:eastAsia="仿宋_GB2312" w:cs="仿宋_GB2312"/>
          <w:szCs w:val="32"/>
        </w:rPr>
        <w:t>》内容既符合上位法精神，又切合湖南实际，具备较强的可操作性。</w:t>
      </w:r>
    </w:p>
    <w:p w14:paraId="3931F3FB">
      <w:pPr>
        <w:spacing w:beforeAutospacing="0" w:afterAutospacing="0" w:line="578" w:lineRule="exact"/>
        <w:ind w:firstLine="624" w:firstLineChars="200"/>
        <w:rPr>
          <w:rFonts w:hint="eastAsia" w:ascii="仿宋_GB2312" w:eastAsia="仿宋_GB2312" w:cs="仿宋_GB2312"/>
          <w:szCs w:val="32"/>
        </w:rPr>
      </w:pPr>
      <w:r>
        <w:rPr>
          <w:rFonts w:ascii="仿宋_GB2312" w:eastAsia="仿宋_GB2312" w:cs="仿宋_GB2312"/>
        </w:rPr>
        <w:t>《</w:t>
      </w:r>
      <w:r>
        <w:rPr>
          <w:rFonts w:ascii="仿宋_GB2312" w:eastAsia="仿宋_GB2312" w:cs="仿宋_GB2312"/>
          <w:szCs w:val="32"/>
        </w:rPr>
        <w:t>实施细则</w:t>
      </w:r>
      <w:r>
        <w:rPr>
          <w:rFonts w:ascii="仿宋_GB2312" w:eastAsia="仿宋_GB2312" w:cs="仿宋_GB2312"/>
        </w:rPr>
        <w:t>》</w:t>
      </w:r>
      <w:r>
        <w:rPr>
          <w:rFonts w:hint="eastAsia" w:ascii="仿宋_GB2312" w:eastAsia="仿宋_GB2312" w:cs="仿宋_GB2312"/>
          <w:szCs w:val="32"/>
        </w:rPr>
        <w:t>着力解决以下几个方面的突出问题：一是</w:t>
      </w:r>
      <w:r>
        <w:rPr>
          <w:rFonts w:ascii="仿宋_GB2312" w:eastAsia="仿宋_GB2312" w:cs="仿宋_GB2312"/>
          <w:szCs w:val="32"/>
        </w:rPr>
        <w:t>明确</w:t>
      </w:r>
      <w:r>
        <w:rPr>
          <w:rFonts w:ascii="仿宋_GB2312" w:eastAsia="仿宋_GB2312" w:cs="仿宋_GB2312"/>
          <w:sz w:val="32"/>
          <w:szCs w:val="32"/>
        </w:rPr>
        <w:t>重大工程抗震设防要求审定</w:t>
      </w:r>
      <w:r>
        <w:rPr>
          <w:rFonts w:hint="eastAsia" w:ascii="仿宋_GB2312" w:eastAsia="仿宋_GB2312" w:cs="仿宋_GB2312"/>
          <w:szCs w:val="32"/>
        </w:rPr>
        <w:t>工作</w:t>
      </w:r>
      <w:r>
        <w:rPr>
          <w:rFonts w:ascii="仿宋_GB2312" w:eastAsia="仿宋_GB2312" w:cs="仿宋_GB2312"/>
          <w:szCs w:val="32"/>
        </w:rPr>
        <w:t>程序，对</w:t>
      </w:r>
      <w:r>
        <w:rPr>
          <w:rFonts w:hint="eastAsia" w:ascii="仿宋_GB2312" w:hAnsi="仿宋_GB2312" w:eastAsia="仿宋_GB2312" w:cs="仿宋_GB2312"/>
          <w:sz w:val="32"/>
          <w:szCs w:val="32"/>
        </w:rPr>
        <w:t>行政许可的申请与受理、</w:t>
      </w:r>
      <w:r>
        <w:rPr>
          <w:rFonts w:ascii="仿宋_GB2312" w:hAnsi="仿宋_GB2312" w:eastAsia="仿宋_GB2312" w:cs="仿宋_GB2312"/>
          <w:sz w:val="32"/>
          <w:szCs w:val="32"/>
        </w:rPr>
        <w:t>技术审查工作要求、技术审查费用管理、</w:t>
      </w:r>
      <w:r>
        <w:rPr>
          <w:rFonts w:hint="eastAsia" w:ascii="仿宋_GB2312" w:hAnsi="仿宋_GB2312" w:eastAsia="仿宋_GB2312" w:cs="仿宋_GB2312"/>
          <w:sz w:val="32"/>
          <w:szCs w:val="32"/>
        </w:rPr>
        <w:t>审定与公开</w:t>
      </w:r>
      <w:r>
        <w:rPr>
          <w:rFonts w:ascii="仿宋_GB2312" w:hAnsi="仿宋_GB2312" w:eastAsia="仿宋_GB2312" w:cs="仿宋_GB2312"/>
          <w:sz w:val="32"/>
          <w:szCs w:val="32"/>
        </w:rPr>
        <w:t>及监督管理</w:t>
      </w:r>
      <w:r>
        <w:rPr>
          <w:rFonts w:hint="eastAsia" w:ascii="仿宋_GB2312" w:hAnsi="仿宋_GB2312" w:eastAsia="仿宋_GB2312" w:cs="仿宋_GB2312"/>
          <w:sz w:val="32"/>
          <w:szCs w:val="32"/>
        </w:rPr>
        <w:t>等活动</w:t>
      </w:r>
      <w:r>
        <w:rPr>
          <w:rFonts w:ascii="仿宋_GB2312" w:hAnsi="仿宋_GB2312" w:eastAsia="仿宋_GB2312" w:cs="仿宋_GB2312"/>
          <w:sz w:val="32"/>
          <w:szCs w:val="32"/>
        </w:rPr>
        <w:t>中可能存在的职责不清、程序不清等问题予以解决</w:t>
      </w:r>
      <w:r>
        <w:rPr>
          <w:rFonts w:ascii="仿宋_GB2312" w:eastAsia="仿宋_GB2312" w:cs="仿宋_GB2312"/>
          <w:szCs w:val="32"/>
        </w:rPr>
        <w:t>；二是</w:t>
      </w:r>
      <w:r>
        <w:rPr>
          <w:rFonts w:ascii="仿宋_GB2312" w:eastAsia="仿宋_GB2312" w:cs="仿宋_GB2312"/>
        </w:rPr>
        <w:t>严格技术审查质量，针对技术审查工作中存在的少量安评报告质量不高问题，明确审查要求、提出督促措施；三是规范技术审查费用，明确</w:t>
      </w:r>
      <w:r>
        <w:rPr>
          <w:rFonts w:ascii="仿宋_GB2312" w:hAnsi="仿宋_GB2312" w:eastAsia="仿宋_GB2312" w:cs="仿宋_GB2312"/>
          <w:color w:val="auto"/>
          <w:sz w:val="32"/>
          <w:szCs w:val="32"/>
        </w:rPr>
        <w:t>技术审查费用由</w:t>
      </w:r>
      <w:r>
        <w:rPr>
          <w:rFonts w:hint="eastAsia" w:ascii="仿宋_GB2312" w:hAnsi="仿宋_GB2312" w:eastAsia="仿宋_GB2312" w:cs="仿宋_GB2312"/>
          <w:color w:val="auto"/>
          <w:sz w:val="32"/>
          <w:szCs w:val="32"/>
          <w:lang w:eastAsia="zh-CN"/>
        </w:rPr>
        <w:t>湖南</w:t>
      </w:r>
      <w:r>
        <w:rPr>
          <w:rFonts w:hint="eastAsia" w:ascii="仿宋_GB2312" w:hAnsi="仿宋_GB2312" w:eastAsia="仿宋_GB2312" w:cs="仿宋_GB2312"/>
          <w:color w:val="auto"/>
          <w:sz w:val="32"/>
          <w:szCs w:val="32"/>
          <w:lang w:val="en-US" w:eastAsia="zh-CN"/>
        </w:rPr>
        <w:t>省地震局</w:t>
      </w:r>
      <w:r>
        <w:rPr>
          <w:rFonts w:hint="eastAsia" w:ascii="仿宋_GB2312" w:hAnsi="仿宋_GB2312" w:eastAsia="仿宋_GB2312" w:cs="仿宋_GB2312"/>
          <w:color w:val="auto"/>
          <w:sz w:val="32"/>
          <w:szCs w:val="32"/>
        </w:rPr>
        <w:t>承担，不得向建设单位和</w:t>
      </w:r>
      <w:r>
        <w:rPr>
          <w:rFonts w:hint="eastAsia" w:ascii="仿宋_GB2312" w:hAnsi="仿宋_GB2312" w:eastAsia="仿宋_GB2312" w:cs="仿宋_GB2312"/>
          <w:color w:val="auto"/>
          <w:sz w:val="32"/>
          <w:szCs w:val="32"/>
          <w:lang w:eastAsia="zh-CN"/>
        </w:rPr>
        <w:t>评价</w:t>
      </w:r>
      <w:r>
        <w:rPr>
          <w:rFonts w:hint="eastAsia" w:ascii="仿宋_GB2312" w:hAnsi="仿宋_GB2312" w:eastAsia="仿宋_GB2312" w:cs="仿宋_GB2312"/>
          <w:color w:val="auto"/>
          <w:sz w:val="32"/>
          <w:szCs w:val="32"/>
        </w:rPr>
        <w:t>单位摊派</w:t>
      </w:r>
      <w:r>
        <w:rPr>
          <w:rFonts w:ascii="仿宋_GB2312" w:hAnsi="仿宋_GB2312" w:eastAsia="仿宋_GB2312" w:cs="仿宋_GB2312"/>
          <w:color w:val="auto"/>
          <w:sz w:val="32"/>
          <w:szCs w:val="32"/>
        </w:rPr>
        <w:t>；</w:t>
      </w:r>
      <w:r>
        <w:rPr>
          <w:rFonts w:ascii="仿宋_GB2312" w:eastAsia="仿宋_GB2312" w:cs="仿宋_GB2312"/>
          <w:szCs w:val="32"/>
        </w:rPr>
        <w:t>四是</w:t>
      </w:r>
      <w:r>
        <w:rPr>
          <w:rFonts w:hint="eastAsia" w:ascii="仿宋_GB2312" w:eastAsia="仿宋_GB2312" w:cs="仿宋_GB2312"/>
          <w:szCs w:val="32"/>
        </w:rPr>
        <w:t>推动信用监管与</w:t>
      </w:r>
      <w:r>
        <w:rPr>
          <w:rFonts w:ascii="仿宋_GB2312" w:eastAsia="仿宋_GB2312" w:cs="仿宋_GB2312"/>
          <w:sz w:val="32"/>
          <w:szCs w:val="32"/>
        </w:rPr>
        <w:t>重大工程抗震设防要求审定</w:t>
      </w:r>
      <w:r>
        <w:rPr>
          <w:rFonts w:hint="eastAsia" w:ascii="仿宋_GB2312" w:eastAsia="仿宋_GB2312" w:cs="仿宋_GB2312"/>
          <w:szCs w:val="32"/>
        </w:rPr>
        <w:t>工作深度融合，将</w:t>
      </w:r>
      <w:r>
        <w:rPr>
          <w:rFonts w:ascii="仿宋_GB2312" w:eastAsia="仿宋_GB2312" w:cs="仿宋_GB2312"/>
          <w:sz w:val="32"/>
          <w:szCs w:val="32"/>
        </w:rPr>
        <w:t>重大工程抗震设防要求审定</w:t>
      </w:r>
      <w:r>
        <w:rPr>
          <w:rFonts w:hint="eastAsia" w:ascii="仿宋_GB2312" w:eastAsia="仿宋_GB2312" w:cs="仿宋_GB2312"/>
          <w:szCs w:val="32"/>
        </w:rPr>
        <w:t>工作结果与评价单位信用评价挂钩，引导行业健康发展。</w:t>
      </w:r>
    </w:p>
    <w:p w14:paraId="33F57AC1">
      <w:pPr>
        <w:spacing w:beforeAutospacing="0" w:afterAutospacing="0" w:line="578" w:lineRule="exact"/>
        <w:ind w:firstLine="624" w:firstLineChars="200"/>
        <w:rPr>
          <w:rFonts w:ascii="仿宋_GB2312" w:eastAsia="仿宋_GB2312" w:cs="仿宋_GB2312"/>
        </w:rPr>
      </w:pPr>
      <w:r>
        <w:rPr>
          <w:rFonts w:hint="eastAsia" w:ascii="CESI黑体-GB2312" w:hAnsi="CESI黑体-GB2312" w:eastAsia="CESI黑体-GB2312" w:cs="CESI黑体-GB2312"/>
          <w:szCs w:val="32"/>
        </w:rPr>
        <w:t>三、制度主要内容说明</w:t>
      </w:r>
    </w:p>
    <w:p w14:paraId="09CBB6CE">
      <w:pPr>
        <w:pStyle w:val="12"/>
        <w:keepNext w:val="0"/>
        <w:keepLines w:val="0"/>
        <w:pageBreakBefore w:val="0"/>
        <w:widowControl w:val="0"/>
        <w:kinsoku/>
        <w:wordWrap/>
        <w:overflowPunct/>
        <w:topLinePunct w:val="0"/>
        <w:autoSpaceDE/>
        <w:autoSpaceDN/>
        <w:adjustRightInd/>
        <w:snapToGrid/>
        <w:spacing w:line="578" w:lineRule="exact"/>
      </w:pPr>
      <w:r>
        <w:rPr>
          <w:rFonts w:ascii="仿宋_GB2312" w:eastAsia="仿宋_GB2312" w:cs="仿宋_GB2312"/>
        </w:rPr>
        <w:t>《</w:t>
      </w:r>
      <w:r>
        <w:rPr>
          <w:rFonts w:ascii="仿宋_GB2312" w:eastAsia="仿宋_GB2312" w:cs="仿宋_GB2312"/>
          <w:szCs w:val="32"/>
        </w:rPr>
        <w:t>实施细则（公开征求意见稿）</w:t>
      </w:r>
      <w:r>
        <w:rPr>
          <w:rFonts w:ascii="仿宋_GB2312" w:eastAsia="仿宋_GB2312" w:cs="仿宋_GB2312"/>
        </w:rPr>
        <w:t>》</w:t>
      </w:r>
      <w:r>
        <w:t>共七章39条，并附有</w:t>
      </w:r>
      <w:r>
        <w:rPr>
          <w:lang w:val="en-US" w:eastAsia="zh-CN"/>
        </w:rPr>
        <w:t>4</w:t>
      </w:r>
      <w:r>
        <w:t>个附件，构建了覆盖</w:t>
      </w:r>
      <w:r>
        <w:rPr>
          <w:rFonts w:hint="eastAsia" w:ascii="仿宋_GB2312" w:hAnsi="仿宋_GB2312" w:eastAsia="仿宋_GB2312" w:cs="仿宋_GB2312"/>
          <w:spacing w:val="0"/>
          <w:kern w:val="0"/>
          <w:sz w:val="32"/>
          <w:szCs w:val="32"/>
          <w:shd w:val="clear" w:color="auto" w:fill="FFFFFF"/>
          <w:lang w:val="en-US" w:eastAsia="zh-CN" w:bidi="ar-SA"/>
        </w:rPr>
        <w:t>重大工程抗震设防要求审定</w:t>
      </w:r>
      <w:r>
        <w:t>事前、事中、事后全流程的管理框架。核心内容主要包括以下几个层面：</w:t>
      </w:r>
    </w:p>
    <w:p w14:paraId="70A8FC37">
      <w:pPr>
        <w:pStyle w:val="12"/>
        <w:keepNext w:val="0"/>
        <w:keepLines w:val="0"/>
        <w:pageBreakBefore w:val="0"/>
        <w:widowControl w:val="0"/>
        <w:kinsoku/>
        <w:wordWrap/>
        <w:overflowPunct/>
        <w:topLinePunct w:val="0"/>
        <w:autoSpaceDE/>
        <w:autoSpaceDN/>
        <w:adjustRightInd/>
        <w:snapToGrid/>
        <w:spacing w:line="578" w:lineRule="exact"/>
        <w:rPr>
          <w:rFonts w:hint="eastAsia"/>
        </w:rPr>
      </w:pPr>
      <w:r>
        <w:rPr>
          <w:b/>
          <w:bCs/>
        </w:rPr>
        <w:t>第一章总则，</w:t>
      </w:r>
      <w:r>
        <w:t>明确了制定目的、依据、适用范围、管理职责、基本原则。</w:t>
      </w:r>
      <w:r>
        <w:rPr>
          <w:b/>
          <w:bCs/>
        </w:rPr>
        <w:t>第二章申请与受理，</w:t>
      </w:r>
      <w:r>
        <w:t>明确了事前监督指导、许可申请方式、申请材料、形式审查、受理条件。</w:t>
      </w:r>
      <w:r>
        <w:rPr>
          <w:b/>
          <w:bCs/>
        </w:rPr>
        <w:t>第三章技术审查工作要求，</w:t>
      </w:r>
      <w:r>
        <w:t>明确了技术审查的依据、内容、形式、结果、保密规定，规范了技术审查的专家选取、审查程序，对审查通过、修改后通过、不通过的结果作出了界定。</w:t>
      </w:r>
      <w:r>
        <w:rPr>
          <w:b/>
          <w:bCs/>
        </w:rPr>
        <w:t>第四章技术审查费用管理，</w:t>
      </w:r>
      <w:r>
        <w:t>明确了</w:t>
      </w:r>
      <w:r>
        <w:rPr>
          <w:rFonts w:hint="eastAsia" w:ascii="仿宋_GB2312" w:hAnsi="仿宋_GB2312" w:eastAsia="仿宋_GB2312" w:cs="仿宋_GB2312"/>
          <w:color w:val="auto"/>
          <w:sz w:val="32"/>
          <w:szCs w:val="32"/>
        </w:rPr>
        <w:t>技术审查费用开支范围</w:t>
      </w:r>
      <w:r>
        <w:rPr>
          <w:rFonts w:ascii="仿宋_GB2312" w:hAnsi="仿宋_GB2312" w:eastAsia="仿宋_GB2312" w:cs="仿宋_GB2312"/>
          <w:color w:val="auto"/>
          <w:sz w:val="32"/>
          <w:szCs w:val="32"/>
        </w:rPr>
        <w:t>、专</w:t>
      </w:r>
      <w:r>
        <w:rPr>
          <w:rFonts w:ascii="仿宋_GB2312" w:hAnsi="仿宋_GB2312" w:eastAsia="仿宋_GB2312" w:cs="仿宋_GB2312"/>
          <w:color w:val="auto"/>
          <w:sz w:val="32"/>
          <w:szCs w:val="32"/>
          <w:lang w:val="en-US"/>
        </w:rPr>
        <w:t>家评审费的发放范围及发放标准，</w:t>
      </w:r>
      <w:r>
        <w:t>强调了</w:t>
      </w:r>
      <w:r>
        <w:rPr>
          <w:rFonts w:ascii="仿宋_GB2312" w:hAnsi="仿宋_GB2312" w:eastAsia="仿宋_GB2312" w:cs="仿宋_GB2312"/>
          <w:color w:val="auto"/>
          <w:sz w:val="32"/>
          <w:szCs w:val="32"/>
        </w:rPr>
        <w:t>技术审查所需费用由</w:t>
      </w:r>
      <w:r>
        <w:rPr>
          <w:rFonts w:hint="eastAsia" w:ascii="仿宋_GB2312" w:hAnsi="仿宋_GB2312" w:eastAsia="仿宋_GB2312" w:cs="仿宋_GB2312"/>
          <w:color w:val="auto"/>
          <w:sz w:val="32"/>
          <w:szCs w:val="32"/>
          <w:lang w:eastAsia="zh-CN"/>
        </w:rPr>
        <w:t>湖南</w:t>
      </w:r>
      <w:r>
        <w:rPr>
          <w:rFonts w:hint="eastAsia" w:ascii="仿宋_GB2312" w:hAnsi="仿宋_GB2312" w:eastAsia="仿宋_GB2312" w:cs="仿宋_GB2312"/>
          <w:color w:val="auto"/>
          <w:sz w:val="32"/>
          <w:szCs w:val="32"/>
          <w:lang w:val="en-US" w:eastAsia="zh-CN"/>
        </w:rPr>
        <w:t>省地震局</w:t>
      </w:r>
      <w:r>
        <w:rPr>
          <w:rFonts w:hint="eastAsia" w:ascii="仿宋_GB2312" w:hAnsi="仿宋_GB2312" w:eastAsia="仿宋_GB2312" w:cs="仿宋_GB2312"/>
          <w:color w:val="auto"/>
          <w:sz w:val="32"/>
          <w:szCs w:val="32"/>
        </w:rPr>
        <w:t>承担</w:t>
      </w:r>
      <w:r>
        <w:t>。</w:t>
      </w:r>
      <w:r>
        <w:rPr>
          <w:b/>
          <w:bCs/>
        </w:rPr>
        <w:t>第五章审定与公开，</w:t>
      </w:r>
      <w:r>
        <w:t>明确了行政许可书面决定的作出、办理期限、许可时效、结果公开及资料建档等工作，对不予通过的情形作出了指导和要求。</w:t>
      </w:r>
      <w:r>
        <w:rPr>
          <w:b/>
          <w:bCs/>
        </w:rPr>
        <w:t>第六章监督管理，</w:t>
      </w:r>
      <w:r>
        <w:t>从</w:t>
      </w:r>
      <w:r>
        <w:rPr>
          <w:rFonts w:hint="eastAsia"/>
        </w:rPr>
        <w:t>内部监督</w:t>
      </w:r>
      <w:r>
        <w:t>、</w:t>
      </w:r>
      <w:r>
        <w:rPr>
          <w:rFonts w:hint="eastAsia"/>
        </w:rPr>
        <w:t>从业单位监管</w:t>
      </w:r>
      <w:r>
        <w:t>、</w:t>
      </w:r>
      <w:r>
        <w:rPr>
          <w:rFonts w:hint="eastAsia"/>
        </w:rPr>
        <w:t>社会监督</w:t>
      </w:r>
      <w:r>
        <w:t>等方面做出来规定。</w:t>
      </w:r>
      <w:r>
        <w:rPr>
          <w:b/>
          <w:bCs/>
        </w:rPr>
        <w:t>第七章附则，</w:t>
      </w:r>
      <w:r>
        <w:t>该</w:t>
      </w:r>
      <w:r>
        <w:rPr>
          <w:rFonts w:ascii="仿宋_GB2312" w:hAnsi="仿宋_GB2312" w:eastAsia="仿宋_GB2312" w:cs="仿宋_GB2312"/>
          <w:spacing w:val="0"/>
          <w:kern w:val="0"/>
          <w:sz w:val="32"/>
          <w:szCs w:val="32"/>
          <w:shd w:val="clear" w:color="auto" w:fill="FFFFFF"/>
          <w:lang w:val="en-US" w:eastAsia="zh-CN" w:bidi="ar-SA"/>
        </w:rPr>
        <w:t>《实施细则》拟以部门规范性文件审议经</w:t>
      </w:r>
      <w:r>
        <w:rPr>
          <w:rFonts w:hint="eastAsia" w:ascii="仿宋_GB2312" w:hAnsi="仿宋_GB2312" w:eastAsia="仿宋_GB2312" w:cs="仿宋_GB2312"/>
          <w:spacing w:val="0"/>
          <w:kern w:val="0"/>
          <w:sz w:val="32"/>
          <w:szCs w:val="32"/>
          <w:shd w:val="clear" w:color="auto" w:fill="FFFFFF"/>
          <w:lang w:val="en-US" w:eastAsia="zh-CN" w:bidi="ar-SA"/>
        </w:rPr>
        <w:t>“</w:t>
      </w:r>
      <w:r>
        <w:rPr>
          <w:rFonts w:ascii="仿宋_GB2312" w:hAnsi="仿宋_GB2312" w:eastAsia="仿宋_GB2312" w:cs="仿宋_GB2312"/>
          <w:spacing w:val="0"/>
          <w:kern w:val="0"/>
          <w:sz w:val="32"/>
          <w:szCs w:val="32"/>
          <w:shd w:val="clear" w:color="auto" w:fill="FFFFFF"/>
          <w:lang w:val="en-US" w:eastAsia="zh-CN" w:bidi="ar-SA"/>
        </w:rPr>
        <w:t>三统一</w:t>
      </w:r>
      <w:r>
        <w:rPr>
          <w:rFonts w:hint="eastAsia" w:ascii="仿宋_GB2312" w:hAnsi="仿宋_GB2312" w:eastAsia="仿宋_GB2312" w:cs="仿宋_GB2312"/>
          <w:spacing w:val="0"/>
          <w:kern w:val="0"/>
          <w:sz w:val="32"/>
          <w:szCs w:val="32"/>
          <w:shd w:val="clear" w:color="auto" w:fill="FFFFFF"/>
          <w:lang w:val="en-US" w:eastAsia="zh-CN" w:bidi="ar-SA"/>
        </w:rPr>
        <w:t>”</w:t>
      </w:r>
      <w:r>
        <w:rPr>
          <w:rFonts w:ascii="仿宋_GB2312" w:hAnsi="仿宋_GB2312" w:eastAsia="仿宋_GB2312" w:cs="仿宋_GB2312"/>
          <w:spacing w:val="0"/>
          <w:kern w:val="0"/>
          <w:sz w:val="32"/>
          <w:szCs w:val="32"/>
          <w:shd w:val="clear" w:color="auto" w:fill="FFFFFF"/>
          <w:lang w:val="en-US" w:eastAsia="zh-CN" w:bidi="ar-SA"/>
        </w:rPr>
        <w:t>后印发，有效期5年</w:t>
      </w:r>
      <w:r>
        <w:t>。四个附件（申请表、委托书、原始数据</w:t>
      </w:r>
      <w:r>
        <w:rPr>
          <w:rFonts w:hint="eastAsia"/>
          <w:lang w:eastAsia="zh-CN"/>
        </w:rPr>
        <w:t>及</w:t>
      </w:r>
      <w:bookmarkStart w:id="0" w:name="_GoBack"/>
      <w:bookmarkEnd w:id="0"/>
      <w:r>
        <w:t>成果材料清单、行政许可案卷），则为具体操作提供了标准化模板和详细指引，增强了</w:t>
      </w:r>
      <w:r>
        <w:rPr>
          <w:rFonts w:ascii="仿宋_GB2312" w:hAnsi="仿宋_GB2312" w:eastAsia="仿宋_GB2312" w:cs="仿宋_GB2312"/>
          <w:spacing w:val="0"/>
          <w:kern w:val="0"/>
          <w:sz w:val="32"/>
          <w:szCs w:val="32"/>
          <w:shd w:val="clear" w:color="auto" w:fill="FFFFFF"/>
          <w:lang w:val="en-US" w:eastAsia="zh-CN" w:bidi="ar-SA"/>
        </w:rPr>
        <w:t>《实施细则》</w:t>
      </w:r>
      <w:r>
        <w:t>的实用性和可操作性。</w:t>
      </w:r>
    </w:p>
    <w:sectPr>
      <w:footerReference r:id="rId3" w:type="default"/>
      <w:pgSz w:w="11906" w:h="16838"/>
      <w:pgMar w:top="2098" w:right="1474" w:bottom="1984" w:left="1587" w:header="1701" w:footer="1701" w:gutter="0"/>
      <w:pgNumType w:start="8"/>
      <w:cols w:space="425"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DejaVu Sans"/>
    <w:panose1 w:val="020B0602030504020204"/>
    <w:charset w:val="00"/>
    <w:family w:val="auto"/>
    <w:pitch w:val="default"/>
    <w:sig w:usb0="00000000" w:usb1="00000000" w:usb2="00000000" w:usb3="00000000" w:csb0="20000001" w:csb1="00000000"/>
  </w:font>
  <w:font w:name="方正兰亭黑_GBK">
    <w:panose1 w:val="02000000000000000000"/>
    <w:charset w:val="86"/>
    <w:family w:val="script"/>
    <w:pitch w:val="default"/>
    <w:sig w:usb0="A00002BF" w:usb1="3ACF7CFA" w:usb2="00080016" w:usb3="00000000" w:csb0="00040001"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swiss"/>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CESI黑体-GB2312">
    <w:panose1 w:val="02000500000000000000"/>
    <w:charset w:val="86"/>
    <w:family w:val="script"/>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38074">
    <w:pPr>
      <w:pStyle w:val="5"/>
      <w:jc w:val="center"/>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6"/>
  <w:drawingGridVerticalSpacing w:val="287"/>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rsids>
    <w:rsidRoot w:val="00000000"/>
    <w:rsid w:val="E9F79A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32"/>
      <w:szCs w:val="22"/>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heading 1 Char"/>
    <w:basedOn w:val="8"/>
    <w:link w:val="2"/>
    <w:qFormat/>
    <w:uiPriority w:val="0"/>
    <w:rPr>
      <w:rFonts w:ascii="Calibri" w:hAnsi="Calibri" w:eastAsia="宋体" w:cs="Arial"/>
      <w:b/>
      <w:bCs/>
      <w:kern w:val="44"/>
      <w:sz w:val="44"/>
      <w:szCs w:val="44"/>
      <w:lang w:val="en-US" w:eastAsia="zh-CN" w:bidi="ar-SA"/>
    </w:rPr>
  </w:style>
  <w:style w:type="character" w:customStyle="1" w:styleId="10">
    <w:name w:val="heading 2 Char"/>
    <w:basedOn w:val="8"/>
    <w:link w:val="3"/>
    <w:qFormat/>
    <w:uiPriority w:val="0"/>
    <w:rPr>
      <w:rFonts w:ascii="方正兰亭黑_GBK" w:hAnsi="方正兰亭黑_GBK" w:eastAsia="黑体" w:cs="Arial"/>
      <w:b/>
      <w:bCs/>
      <w:kern w:val="2"/>
      <w:sz w:val="32"/>
      <w:szCs w:val="32"/>
      <w:lang w:val="en-US" w:eastAsia="zh-CN" w:bidi="ar-SA"/>
    </w:rPr>
  </w:style>
  <w:style w:type="character" w:customStyle="1" w:styleId="11">
    <w:name w:val="heading 3 Char"/>
    <w:basedOn w:val="8"/>
    <w:link w:val="4"/>
    <w:qFormat/>
    <w:uiPriority w:val="0"/>
    <w:rPr>
      <w:rFonts w:ascii="Calibri" w:hAnsi="Calibri" w:eastAsia="宋体" w:cs="Arial"/>
      <w:b/>
      <w:bCs/>
      <w:kern w:val="2"/>
      <w:sz w:val="32"/>
      <w:szCs w:val="32"/>
      <w:lang w:val="en-US" w:eastAsia="zh-CN" w:bidi="ar-SA"/>
    </w:rPr>
  </w:style>
  <w:style w:type="paragraph" w:customStyle="1" w:styleId="12">
    <w:name w:val="OfficeAI-正文"/>
    <w:basedOn w:val="1"/>
    <w:qFormat/>
    <w:uiPriority w:val="0"/>
    <w:pPr>
      <w:ind w:firstLine="200" w:firstLineChars="200"/>
    </w:pPr>
    <w:rPr>
      <w:rFonts w:ascii="仿宋_GB2312" w:hAnsi="仿宋_GB2312" w:eastAsia="仿宋_GB2312" w:cs="仿宋_GB2312"/>
      <w:color w:val="000000"/>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3 5 12 0 0 1 0 0 1 26650 1 1 1 1 1"/>
    <sectPr xmlns="http://www.yozosoft.com.cn/officeDocument/2016/customData"/>
  </customProps>
</customData>
</file>

<file path=customXml/itemProps1.xml><?xml version="1.0" encoding="utf-8"?>
<ds:datastoreItem xmlns:ds="http://schemas.openxmlformats.org/officeDocument/2006/customXml" ds:itemID="{BE763FD2-5B77-4027-AE55-5E6F8A5BA36F}">
  <ds:schemaRefs/>
</ds:datastoreItem>
</file>

<file path=docProps/app.xml><?xml version="1.0" encoding="utf-8"?>
<Properties xmlns="http://schemas.openxmlformats.org/officeDocument/2006/extended-properties" xmlns:vt="http://schemas.openxmlformats.org/officeDocument/2006/docPropsVTypes">
  <Template>Normal.eit</Template>
  <Pages>3</Pages>
  <Words>0</Words>
  <Characters>1146</Characters>
  <Lines>0</Lines>
  <Paragraphs>12</Paragraphs>
  <TotalTime>318</TotalTime>
  <ScaleCrop>false</ScaleCrop>
  <LinksUpToDate>false</LinksUpToDate>
  <CharactersWithSpaces>1529</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2021-05-12T07:15:00Z</dcterms:created>
  <dc:creator>郑涛</dc:creator>
  <cp:lastModifiedBy>xuw</cp:lastModifiedBy>
  <cp:lastPrinted>2026-04-21T08:10:00Z</cp:lastPrinted>
  <dcterms:modified xsi:type="dcterms:W3CDTF">2026-09-30T15:44:26Z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499639AE97BA4A1ADABDBC6AF2694F0A_43</vt:lpwstr>
  </property>
</Properties>
</file>