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 w:val="0"/>
        <w:topLinePunct/>
        <w:autoSpaceDE w:val="0"/>
        <w:spacing w:after="156" w:afterLines="50" w:line="560" w:lineRule="exact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" w:eastAsia="zh-CN"/>
        </w:rPr>
        <w:t>附件</w:t>
      </w:r>
    </w:p>
    <w:p>
      <w:pPr>
        <w:suppressAutoHyphens w:val="0"/>
        <w:topLinePunct/>
        <w:autoSpaceDE w:val="0"/>
        <w:spacing w:after="156" w:afterLines="50" w:line="560" w:lineRule="exact"/>
        <w:jc w:val="both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eastAsia="zh-CN"/>
        </w:rPr>
        <w:t>湖南省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“十五五”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eastAsia="zh-CN"/>
        </w:rPr>
        <w:t>防震减灾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规划意见建议表</w:t>
      </w:r>
    </w:p>
    <w:p>
      <w:pPr>
        <w:rPr>
          <w:rFonts w:hint="eastAsia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2416"/>
        <w:gridCol w:w="2136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 w:val="0"/>
              <w:topLinePunct/>
              <w:autoSpaceDE w:val="0"/>
              <w:spacing w:line="56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 w:val="0"/>
              <w:topLinePunct/>
              <w:autoSpaceDE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 w:val="0"/>
              <w:topLinePunct/>
              <w:autoSpaceDE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电话号码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 w:val="0"/>
              <w:topLinePunct/>
              <w:autoSpaceDE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 w:val="0"/>
              <w:topLinePunct/>
              <w:autoSpaceDE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6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 w:val="0"/>
              <w:topLinePunct/>
              <w:autoSpaceDE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 w:val="0"/>
              <w:topLinePunct/>
              <w:autoSpaceDE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职务（职称）</w:t>
            </w:r>
          </w:p>
        </w:tc>
        <w:tc>
          <w:tcPr>
            <w:tcW w:w="6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 w:val="0"/>
              <w:topLinePunct/>
              <w:autoSpaceDE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 w:val="0"/>
              <w:topLinePunct/>
              <w:autoSpaceDE w:val="0"/>
              <w:spacing w:line="5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所提意见</w:t>
            </w:r>
          </w:p>
          <w:p>
            <w:pPr>
              <w:suppressAutoHyphens w:val="0"/>
              <w:topLinePunct/>
              <w:autoSpaceDE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6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 w:val="0"/>
              <w:topLinePunct/>
              <w:autoSpaceDE w:val="0"/>
              <w:spacing w:line="560" w:lineRule="exact"/>
              <w:jc w:val="center"/>
              <w:rPr>
                <w:rFonts w:eastAsia="仿宋_GB2312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地震监测预报预警</w:t>
            </w:r>
            <w:r>
              <w:rPr>
                <w:rFonts w:ascii="仿宋_GB2312" w:hAnsi="Wingdings" w:eastAsia="仿宋_GB2312"/>
                <w:color w:val="000000"/>
                <w:kern w:val="0"/>
                <w:sz w:val="28"/>
                <w:szCs w:val="28"/>
              </w:rPr>
              <w:t>¨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地震灾害风险防治</w:t>
            </w:r>
            <w:r>
              <w:rPr>
                <w:rFonts w:ascii="仿宋_GB2312" w:hAnsi="Wingdings" w:eastAsia="仿宋_GB2312"/>
                <w:color w:val="000000"/>
                <w:kern w:val="0"/>
                <w:sz w:val="28"/>
                <w:szCs w:val="28"/>
              </w:rPr>
              <w:t>¨</w:t>
            </w:r>
          </w:p>
          <w:p>
            <w:pPr>
              <w:suppressAutoHyphens w:val="0"/>
              <w:topLinePunct/>
              <w:autoSpaceDE w:val="0"/>
              <w:spacing w:line="560" w:lineRule="exact"/>
              <w:jc w:val="center"/>
              <w:rPr>
                <w:rFonts w:ascii="仿宋_GB2312" w:hAnsi="Wingdings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防震减灾公共服务</w:t>
            </w:r>
            <w:r>
              <w:rPr>
                <w:rFonts w:ascii="仿宋_GB2312" w:hAnsi="Wingdings" w:eastAsia="仿宋_GB2312"/>
                <w:color w:val="000000"/>
                <w:kern w:val="0"/>
                <w:sz w:val="28"/>
                <w:szCs w:val="28"/>
              </w:rPr>
              <w:t>¨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防震减灾科技创新</w:t>
            </w:r>
            <w:r>
              <w:rPr>
                <w:rFonts w:ascii="仿宋_GB2312" w:hAnsi="Wingdings" w:eastAsia="仿宋_GB2312"/>
                <w:color w:val="000000"/>
                <w:kern w:val="0"/>
                <w:sz w:val="28"/>
                <w:szCs w:val="28"/>
              </w:rPr>
              <w:t>¨</w:t>
            </w:r>
          </w:p>
          <w:p>
            <w:pPr>
              <w:suppressAutoHyphens w:val="0"/>
              <w:topLinePunct/>
              <w:autoSpaceDE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防震减灾科技创新</w:t>
            </w:r>
            <w:r>
              <w:rPr>
                <w:rFonts w:ascii="仿宋_GB2312" w:hAnsi="Wingdings" w:eastAsia="仿宋_GB2312"/>
                <w:color w:val="000000"/>
                <w:kern w:val="0"/>
                <w:sz w:val="28"/>
                <w:szCs w:val="28"/>
              </w:rPr>
              <w:t>¨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其            他</w:t>
            </w:r>
            <w:r>
              <w:rPr>
                <w:rFonts w:ascii="仿宋_GB2312" w:hAnsi="Wingdings" w:eastAsia="仿宋_GB2312"/>
                <w:color w:val="000000"/>
                <w:kern w:val="0"/>
                <w:sz w:val="28"/>
                <w:szCs w:val="28"/>
              </w:rPr>
              <w:t>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 w:val="0"/>
              <w:topLinePunct/>
              <w:autoSpaceDE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标题</w:t>
            </w:r>
          </w:p>
        </w:tc>
        <w:tc>
          <w:tcPr>
            <w:tcW w:w="6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 w:val="0"/>
              <w:topLinePunct/>
              <w:autoSpaceDE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 w:val="0"/>
              <w:topLinePunct/>
              <w:autoSpaceDE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意见建议</w:t>
            </w:r>
          </w:p>
        </w:tc>
        <w:tc>
          <w:tcPr>
            <w:tcW w:w="6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 w:val="0"/>
              <w:topLinePunct/>
              <w:autoSpaceDE w:val="0"/>
              <w:spacing w:line="5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uppressAutoHyphens w:val="0"/>
              <w:topLinePunct/>
              <w:spacing w:line="560" w:lineRule="exact"/>
              <w:ind w:firstLine="560" w:firstLineChars="200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uppressAutoHyphens w:val="0"/>
              <w:topLinePunct/>
              <w:spacing w:line="560" w:lineRule="exact"/>
              <w:ind w:firstLine="560" w:firstLineChars="200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uppressAutoHyphens w:val="0"/>
              <w:topLinePunct/>
              <w:spacing w:line="560" w:lineRule="exact"/>
              <w:ind w:firstLine="560" w:firstLineChars="200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uppressAutoHyphens w:val="0"/>
              <w:topLinePunct/>
              <w:spacing w:line="560" w:lineRule="exact"/>
              <w:ind w:firstLine="560" w:firstLineChars="200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uppressAutoHyphens w:val="0"/>
              <w:topLinePunct/>
              <w:spacing w:line="560" w:lineRule="exact"/>
              <w:ind w:firstLine="560" w:firstLineChars="200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uppressAutoHyphens w:val="0"/>
              <w:topLinePunct/>
              <w:spacing w:line="560" w:lineRule="exact"/>
              <w:ind w:firstLine="560" w:firstLineChars="200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uppressAutoHyphens w:val="0"/>
              <w:topLinePunct/>
              <w:spacing w:line="560" w:lineRule="exact"/>
              <w:ind w:firstLine="560" w:firstLineChars="200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uppressAutoHyphens w:val="0"/>
              <w:topLinePunct/>
              <w:spacing w:line="560" w:lineRule="exact"/>
              <w:ind w:firstLine="560" w:firstLineChars="200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uppressAutoHyphens w:val="0"/>
              <w:topLinePunct/>
              <w:spacing w:line="560" w:lineRule="exact"/>
              <w:ind w:firstLine="560" w:firstLineChars="200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uppressAutoHyphens w:val="0"/>
              <w:topLinePunct/>
              <w:spacing w:line="560" w:lineRule="exact"/>
              <w:ind w:firstLine="720" w:firstLineChars="200"/>
              <w:jc w:val="center"/>
              <w:rPr>
                <w:rFonts w:hint="eastAsia" w:eastAsia="仿宋_GB2312"/>
                <w:color w:val="000000"/>
                <w:kern w:val="0"/>
                <w:sz w:val="36"/>
                <w:szCs w:val="36"/>
              </w:rPr>
            </w:pPr>
          </w:p>
          <w:p>
            <w:pPr>
              <w:suppressAutoHyphens w:val="0"/>
              <w:topLinePunct/>
              <w:spacing w:line="560" w:lineRule="exact"/>
              <w:ind w:firstLine="720" w:firstLineChars="200"/>
              <w:rPr>
                <w:rFonts w:eastAsia="仿宋_GB2312"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43032"/>
    <w:rsid w:val="30F10832"/>
    <w:rsid w:val="3EAB0813"/>
    <w:rsid w:val="47017090"/>
    <w:rsid w:val="A7F986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2025-08-25T00:55:29Z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